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F6" w:rsidRPr="008F41E9" w:rsidRDefault="00B773B1" w:rsidP="008F41E9">
      <w:pPr>
        <w:jc w:val="center"/>
        <w:rPr>
          <w:b/>
        </w:rPr>
      </w:pPr>
      <w:r w:rsidRPr="008F41E9">
        <w:rPr>
          <w:b/>
        </w:rPr>
        <w:t>COMUNICACIÓN SOBRE INVOLUCRAMIENTO (COE)</w:t>
      </w:r>
    </w:p>
    <w:p w:rsidR="00B773B1" w:rsidRDefault="00EB6F20" w:rsidP="008F41E9">
      <w:pPr>
        <w:jc w:val="center"/>
      </w:pPr>
      <w:r>
        <w:t>Insertar el nombre com</w:t>
      </w:r>
      <w:r w:rsidR="00B773B1">
        <w:t>p</w:t>
      </w:r>
      <w:r>
        <w:t>l</w:t>
      </w:r>
      <w:r w:rsidR="00B773B1">
        <w:t xml:space="preserve">eto del Instituto </w:t>
      </w:r>
      <w:r>
        <w:t>Tecnológico</w:t>
      </w:r>
      <w:r w:rsidR="00B773B1">
        <w:t xml:space="preserve"> y logotipo</w:t>
      </w:r>
    </w:p>
    <w:p w:rsidR="00B773B1" w:rsidRDefault="00B773B1">
      <w:pPr>
        <w:rPr>
          <w:b/>
        </w:rPr>
      </w:pPr>
      <w:r>
        <w:rPr>
          <w:b/>
        </w:rPr>
        <w:t xml:space="preserve">Periodo cubierto por esta comunicación </w:t>
      </w:r>
      <w:r w:rsidR="00EB6F20">
        <w:rPr>
          <w:b/>
        </w:rPr>
        <w:t xml:space="preserve">sobre involucramiento [Dos años previos a este </w:t>
      </w:r>
      <w:r w:rsidR="008F41E9">
        <w:rPr>
          <w:b/>
        </w:rPr>
        <w:t>informe</w:t>
      </w:r>
      <w:r w:rsidR="00EB6F20">
        <w:rPr>
          <w:b/>
        </w:rPr>
        <w:t>]</w:t>
      </w:r>
    </w:p>
    <w:p w:rsidR="00B773B1" w:rsidRDefault="00EB6F20" w:rsidP="003909C8">
      <w:pPr>
        <w:jc w:val="both"/>
        <w:rPr>
          <w:b/>
        </w:rPr>
      </w:pPr>
      <w:r>
        <w:rPr>
          <w:b/>
        </w:rPr>
        <w:t>Desde:</w:t>
      </w:r>
      <w:r>
        <w:rPr>
          <w:b/>
        </w:rPr>
        <w:tab/>
        <w:t>[insertar Fecha]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Hasta: [insertar Fecha]</w:t>
      </w:r>
      <w:r>
        <w:rPr>
          <w:b/>
        </w:rPr>
        <w:tab/>
      </w:r>
    </w:p>
    <w:p w:rsidR="00EB6F20" w:rsidRDefault="00EB6F20" w:rsidP="003909C8">
      <w:pPr>
        <w:jc w:val="both"/>
      </w:pPr>
    </w:p>
    <w:p w:rsidR="00EB6F20" w:rsidRDefault="00EB6F20" w:rsidP="003909C8">
      <w:pPr>
        <w:jc w:val="both"/>
        <w:rPr>
          <w:b/>
        </w:rPr>
      </w:pPr>
      <w:r>
        <w:rPr>
          <w:b/>
        </w:rPr>
        <w:t xml:space="preserve">Parte I. Declaración de respaldo continuo del Director </w:t>
      </w:r>
    </w:p>
    <w:p w:rsidR="00B773B1" w:rsidRDefault="00B773B1" w:rsidP="003909C8">
      <w:pPr>
        <w:jc w:val="both"/>
      </w:pPr>
      <w:r>
        <w:t xml:space="preserve">Utilice </w:t>
      </w:r>
      <w:r w:rsidR="00EB6F20">
        <w:t>el r</w:t>
      </w:r>
      <w:r>
        <w:t xml:space="preserve">ecuadro que aparezca </w:t>
      </w:r>
      <w:r w:rsidR="00EB6F20">
        <w:t>a continuación para incluir la declaración de respaldo c</w:t>
      </w:r>
      <w:bookmarkStart w:id="0" w:name="_GoBack"/>
      <w:bookmarkEnd w:id="0"/>
      <w:r w:rsidR="00EB6F20">
        <w:t>ontinuo firmada por el director</w:t>
      </w:r>
    </w:p>
    <w:p w:rsidR="002707C5" w:rsidRDefault="00EB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</wp:posOffset>
                </wp:positionH>
                <wp:positionV relativeFrom="paragraph">
                  <wp:posOffset>80392</wp:posOffset>
                </wp:positionV>
                <wp:extent cx="6021705" cy="4352290"/>
                <wp:effectExtent l="0" t="0" r="17145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705" cy="435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F20" w:rsidRDefault="00EB6F20" w:rsidP="003465B8">
                            <w:pPr>
                              <w:ind w:right="20"/>
                              <w:jc w:val="both"/>
                            </w:pPr>
                            <w:r>
                              <w:t>[Escribir aquí]</w:t>
                            </w:r>
                          </w:p>
                          <w:p w:rsidR="00EB6F20" w:rsidRDefault="00EB6F20" w:rsidP="003909C8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Ejemplo de declaración de respaldo continúa</w:t>
                            </w:r>
                          </w:p>
                          <w:p w:rsidR="002707C5" w:rsidRDefault="002707C5" w:rsidP="003909C8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[Fecha]</w:t>
                            </w:r>
                          </w:p>
                          <w:p w:rsidR="002707C5" w:rsidRDefault="002707C5" w:rsidP="003909C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2707C5" w:rsidRDefault="002707C5" w:rsidP="003909C8">
                            <w:pPr>
                              <w:jc w:val="both"/>
                            </w:pPr>
                            <w:r>
                              <w:t>A nuestras partes interesadas:</w:t>
                            </w:r>
                          </w:p>
                          <w:p w:rsidR="002707C5" w:rsidRDefault="002707C5" w:rsidP="003909C8">
                            <w:pPr>
                              <w:jc w:val="both"/>
                            </w:pPr>
                            <w:r>
                              <w:t>Me complace confirmar que [</w:t>
                            </w:r>
                            <w:r w:rsidRPr="002707C5">
                              <w:rPr>
                                <w:b/>
                              </w:rPr>
                              <w:t>nombre del Instituto Tecnológico</w:t>
                            </w:r>
                            <w:r>
                              <w:t>] reafirma su respaldo al Pacto Mundial de la Organización de las Naciones Unidas (ONU) y a sus Diez principios en las áreas de derechos humanos, estándares laborales, medioambiente y anticorrupción. Esta es nuestra Comunicación sobre Involucramiento con el Pacto Mundial de la ONU. La realimentación sobre su contenido es bienvenida.</w:t>
                            </w:r>
                          </w:p>
                          <w:p w:rsidR="002707C5" w:rsidRDefault="002707C5" w:rsidP="003909C8">
                            <w:pPr>
                              <w:jc w:val="both"/>
                            </w:pPr>
                            <w:r>
                              <w:t>En esta Comunicación sobre Involucramiento, describimos las medidas tomadas por nuestra organización para respaldar el Pacto Mundial de la ONU y sus principios tal como se sugiere para una organización como la nuestra. También nos comprometemos a compartir esta información con nuestros grupos de interés a través de nuestros principales canales de comunicación.</w:t>
                            </w:r>
                          </w:p>
                          <w:p w:rsidR="002707C5" w:rsidRDefault="002707C5" w:rsidP="003909C8">
                            <w:pPr>
                              <w:jc w:val="both"/>
                            </w:pPr>
                            <w:r>
                              <w:t>Atentamente,</w:t>
                            </w:r>
                          </w:p>
                          <w:p w:rsidR="00EB6F20" w:rsidRDefault="002707C5" w:rsidP="003909C8">
                            <w:pPr>
                              <w:jc w:val="both"/>
                            </w:pPr>
                            <w:r>
                              <w:t>[Nombre completo] [Título]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85pt;margin-top:6.35pt;width:474.15pt;height:3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" fillcolor="white [3201]" strokeweight=".5pt">
                <v:textbox>
                  <w:txbxContent>
                    <w:p w:rsidR="00EB6F20" w:rsidRDefault="00EB6F20" w:rsidP="003465B8">
                      <w:pPr>
                        <w:ind w:right="20"/>
                        <w:jc w:val="both"/>
                      </w:pPr>
                      <w:r>
                        <w:t>[Escribir aquí]</w:t>
                      </w:r>
                    </w:p>
                    <w:p w:rsidR="00EB6F20" w:rsidRDefault="00EB6F20" w:rsidP="003909C8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Ejemplo de declaración de respaldo continúa</w:t>
                      </w:r>
                    </w:p>
                    <w:p w:rsidR="002707C5" w:rsidRDefault="002707C5" w:rsidP="003909C8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[Fecha]</w:t>
                      </w:r>
                    </w:p>
                    <w:p w:rsidR="002707C5" w:rsidRDefault="002707C5" w:rsidP="003909C8">
                      <w:pPr>
                        <w:jc w:val="both"/>
                        <w:rPr>
                          <w:i/>
                        </w:rPr>
                      </w:pPr>
                    </w:p>
                    <w:p w:rsidR="002707C5" w:rsidRDefault="002707C5" w:rsidP="003909C8">
                      <w:pPr>
                        <w:jc w:val="both"/>
                      </w:pPr>
                      <w:r>
                        <w:t>A nuestras partes interesadas:</w:t>
                      </w:r>
                    </w:p>
                    <w:p w:rsidR="002707C5" w:rsidRDefault="002707C5" w:rsidP="003909C8">
                      <w:pPr>
                        <w:jc w:val="both"/>
                      </w:pPr>
                      <w:r>
                        <w:t>Me complace confirmar que [</w:t>
                      </w:r>
                      <w:r w:rsidRPr="002707C5">
                        <w:rPr>
                          <w:b/>
                        </w:rPr>
                        <w:t>nombre del Instituto Tecnológico</w:t>
                      </w:r>
                      <w:r>
                        <w:t>] reafirma su respaldo al Pacto Mundial de la Organización de las Naciones Unidas (ONU) y a sus Diez principios en las áreas de derechos humanos, estándares laborales, medioambiente y anticorrupción. Esta es nuestra Comunicación sobre Involucramiento con el Pacto Mundial de la ONU. La realimentación sobre su contenido es bienvenida.</w:t>
                      </w:r>
                    </w:p>
                    <w:p w:rsidR="002707C5" w:rsidRDefault="002707C5" w:rsidP="003909C8">
                      <w:pPr>
                        <w:jc w:val="both"/>
                      </w:pPr>
                      <w:r>
                        <w:t>En esta Comunicación sobre Involucramiento, describimos las medidas tomadas por nuestra organización para respaldar el Pacto Mundial de la ONU y sus principios tal como se sugiere para una organización como la nuestra. También nos comprometemos a compartir esta información con nuestros grupos de interés a través de nuestros principales canales de comunicación.</w:t>
                      </w:r>
                    </w:p>
                    <w:p w:rsidR="002707C5" w:rsidRDefault="002707C5" w:rsidP="003909C8">
                      <w:pPr>
                        <w:jc w:val="both"/>
                      </w:pPr>
                      <w:r>
                        <w:t>Atentamente,</w:t>
                      </w:r>
                    </w:p>
                    <w:p w:rsidR="00EB6F20" w:rsidRDefault="002707C5" w:rsidP="003909C8">
                      <w:pPr>
                        <w:jc w:val="both"/>
                      </w:pPr>
                      <w:r>
                        <w:t>[Nombre completo] [Título]</w:t>
                      </w:r>
                    </w:p>
                  </w:txbxContent>
                </v:textbox>
              </v:shape>
            </w:pict>
          </mc:Fallback>
        </mc:AlternateContent>
      </w:r>
    </w:p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Pr="002707C5" w:rsidRDefault="002707C5" w:rsidP="002707C5"/>
    <w:p w:rsidR="002707C5" w:rsidRDefault="002707C5">
      <w:r>
        <w:br w:type="page"/>
      </w:r>
    </w:p>
    <w:p w:rsidR="002707C5" w:rsidRPr="00512A96" w:rsidRDefault="002707C5" w:rsidP="003909C8">
      <w:pPr>
        <w:jc w:val="both"/>
        <w:rPr>
          <w:b/>
        </w:rPr>
      </w:pPr>
      <w:r w:rsidRPr="00512A96">
        <w:rPr>
          <w:b/>
        </w:rPr>
        <w:lastRenderedPageBreak/>
        <w:t xml:space="preserve">Parte II </w:t>
      </w:r>
      <w:r w:rsidR="00C570C7" w:rsidRPr="00512A96">
        <w:rPr>
          <w:b/>
        </w:rPr>
        <w:t>Descripción</w:t>
      </w:r>
      <w:r w:rsidR="004E5A2E" w:rsidRPr="00512A96">
        <w:rPr>
          <w:b/>
        </w:rPr>
        <w:t xml:space="preserve"> de las medidas</w:t>
      </w:r>
    </w:p>
    <w:p w:rsidR="004E5A2E" w:rsidRPr="00512A96" w:rsidRDefault="004E5A2E" w:rsidP="003909C8">
      <w:pPr>
        <w:jc w:val="both"/>
      </w:pPr>
      <w:r w:rsidRPr="00512A96">
        <w:t>Utilice el recuadro que aparece a co</w:t>
      </w:r>
      <w:r w:rsidR="00C570C7" w:rsidRPr="00512A96">
        <w:t>ntinuación</w:t>
      </w:r>
      <w:r w:rsidRPr="00512A96">
        <w:t xml:space="preserve"> definir las medi</w:t>
      </w:r>
      <w:r w:rsidR="00C570C7" w:rsidRPr="00512A96">
        <w:t>das que ha tomado su organizació</w:t>
      </w:r>
      <w:r w:rsidRPr="00512A96">
        <w:t>n para respaldar el Pacto Mundial</w:t>
      </w:r>
      <w:r w:rsidR="00C570C7" w:rsidRPr="00512A96">
        <w:t>. Se recomienda que las medidas tomadas estén vinculadas a una o más de las actividades específicas sugeridas.</w:t>
      </w:r>
    </w:p>
    <w:p w:rsidR="00C570C7" w:rsidRPr="002707C5" w:rsidRDefault="00C570C7" w:rsidP="002707C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-33930</wp:posOffset>
                </wp:positionH>
                <wp:positionV relativeFrom="paragraph">
                  <wp:posOffset>14554</wp:posOffset>
                </wp:positionV>
                <wp:extent cx="6046573" cy="5967730"/>
                <wp:effectExtent l="0" t="0" r="11430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573" cy="596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C7" w:rsidRDefault="00C570C7" w:rsidP="003465B8">
                            <w:pPr>
                              <w:ind w:right="35"/>
                              <w:jc w:val="both"/>
                            </w:pPr>
                            <w:r>
                              <w:t>[Escriba aquí]</w:t>
                            </w:r>
                          </w:p>
                          <w:p w:rsidR="00C570C7" w:rsidRDefault="00265CA3" w:rsidP="003465B8">
                            <w:pPr>
                              <w:ind w:right="35"/>
                              <w:jc w:val="both"/>
                            </w:pPr>
                            <w:r>
                              <w:t xml:space="preserve">Estos son algunos ejemplos de medidas </w:t>
                            </w:r>
                          </w:p>
                          <w:p w:rsidR="004728CE" w:rsidRDefault="00265CA3" w:rsidP="004728CE">
                            <w:pPr>
                              <w:ind w:right="35"/>
                              <w:jc w:val="both"/>
                            </w:pPr>
                            <w:r>
                              <w:t xml:space="preserve">Para organizaciones académicas: </w:t>
                            </w:r>
                          </w:p>
                          <w:p w:rsidR="00265CA3" w:rsidRDefault="00265CA3" w:rsidP="004728C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>
                              <w:t xml:space="preserve">Incorporar los principios los principios del </w:t>
                            </w:r>
                            <w:r w:rsidR="00F5317D">
                              <w:t>P</w:t>
                            </w:r>
                            <w:r>
                              <w:t xml:space="preserve">acto </w:t>
                            </w:r>
                            <w:r w:rsidR="00F5317D">
                              <w:t>Mundial de la ONU</w:t>
                            </w:r>
                            <w:r w:rsidR="009A1250">
                              <w:t xml:space="preserve"> a las operaciones internas y comunicar el progreso conforme a las exigencias comunicación sobre el progreso</w:t>
                            </w:r>
                            <w:r w:rsidR="004728CE">
                              <w:t>.</w:t>
                            </w:r>
                          </w:p>
                          <w:p w:rsidR="009A1250" w:rsidRDefault="009A1250" w:rsidP="00346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 w:rsidRPr="009A1250">
                              <w:t>Promover el Pacto Mundial y sus principios a través de las siguientes actividades (al menos una de las siguientes opciones es obl</w:t>
                            </w:r>
                            <w:r w:rsidR="004728CE">
                              <w:t>igatoria).</w:t>
                            </w:r>
                          </w:p>
                          <w:p w:rsidR="009A1250" w:rsidRDefault="009A1250" w:rsidP="00346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 w:rsidRPr="009A1250">
                              <w:t>Ofrecer educación acerca de temas rel</w:t>
                            </w:r>
                            <w:r>
                              <w:t>acionados con el Pacto Mundial</w:t>
                            </w:r>
                            <w:r w:rsidR="004728C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F5317D" w:rsidRDefault="009A1250" w:rsidP="00346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 w:rsidRPr="009A1250">
                              <w:t xml:space="preserve">Realizar investigación aplicada y liderazgo de pensamiento en </w:t>
                            </w:r>
                            <w:r w:rsidR="00F5317D">
                              <w:t xml:space="preserve">relación con el Pacto Mundial. </w:t>
                            </w:r>
                          </w:p>
                          <w:p w:rsidR="00F5317D" w:rsidRDefault="009A1250" w:rsidP="00346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 w:rsidRPr="009A1250">
                              <w:t xml:space="preserve">Difundir los </w:t>
                            </w:r>
                            <w:r w:rsidR="00F5317D">
                              <w:t xml:space="preserve">principios del Pacto Mundial. </w:t>
                            </w:r>
                          </w:p>
                          <w:p w:rsidR="00F5317D" w:rsidRDefault="009A1250" w:rsidP="00346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 w:rsidRPr="009A1250">
                              <w:t>Brindar apoyo a las empresas participantes del Pacto Mundial de Naciones Unidas en la implementación de sostenibili</w:t>
                            </w:r>
                            <w:r w:rsidR="00F5317D">
                              <w:t>dad y esfuerzos de divulgación</w:t>
                            </w:r>
                            <w:r w:rsidR="004728CE">
                              <w:t>.</w:t>
                            </w:r>
                            <w:r w:rsidR="00F5317D">
                              <w:t xml:space="preserve"> </w:t>
                            </w:r>
                          </w:p>
                          <w:p w:rsidR="009A1250" w:rsidRDefault="009A1250" w:rsidP="00346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right="35"/>
                              <w:jc w:val="both"/>
                            </w:pPr>
                            <w:r w:rsidRPr="009A1250">
                              <w:t>Dar capacidad a las Redes Locales del Pacto Mundial y/o la Oficina del Pacto Mundial</w:t>
                            </w:r>
                            <w:r w:rsidR="004728CE">
                              <w:t>.</w:t>
                            </w:r>
                          </w:p>
                          <w:p w:rsidR="00F5317D" w:rsidRDefault="00F5317D" w:rsidP="003465B8">
                            <w:pPr>
                              <w:pStyle w:val="Prrafodelista"/>
                              <w:ind w:right="35"/>
                              <w:jc w:val="both"/>
                            </w:pPr>
                          </w:p>
                          <w:p w:rsidR="00F5317D" w:rsidRPr="004728CE" w:rsidRDefault="00F5317D" w:rsidP="004728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5"/>
                              <w:jc w:val="both"/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28CE"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  <w:t>Derechos Humanos:</w:t>
                            </w:r>
                            <w:r w:rsidR="004728CE" w:rsidRPr="004728CE"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317D" w:rsidRPr="00F5317D" w:rsidRDefault="00F5317D" w:rsidP="004728CE">
                            <w:pPr>
                              <w:ind w:right="35"/>
                              <w:jc w:val="both"/>
                            </w:pPr>
                            <w:r w:rsidRPr="00F5317D">
                              <w:t xml:space="preserve">El </w:t>
                            </w:r>
                            <w:r w:rsidR="00F030F9" w:rsidRPr="003909C8">
                              <w:rPr>
                                <w:b/>
                              </w:rPr>
                              <w:t>nombre del Instituto Tecnológico</w:t>
                            </w:r>
                            <w:r w:rsidRPr="00F5317D">
                              <w:t xml:space="preserve"> mantiene y fomenta los derechos humanos en su lugar de trabajo y en su esfera de influencia, conformada por la</w:t>
                            </w:r>
                            <w:r>
                              <w:t xml:space="preserve"> </w:t>
                            </w:r>
                            <w:r w:rsidRPr="00F5317D">
                              <w:t>comunidad tecnológica (Directivos, personal docente, estudiantes). No se facilita ni se promueven los abusos a los derechos humanos ni se beneficia por actos</w:t>
                            </w:r>
                            <w:r>
                              <w:t xml:space="preserve"> </w:t>
                            </w:r>
                            <w:r w:rsidRPr="00F5317D">
                              <w:t>de dicha naturaleza, tampoco se guarda silencio al acto de los mismo.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ind w:right="35"/>
                              <w:jc w:val="both"/>
                            </w:pPr>
                            <w:r w:rsidRPr="00F5317D">
                              <w:t>Algunas actividades realizadas para dar cumplimiento fueron: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35"/>
                              <w:jc w:val="both"/>
                            </w:pPr>
                            <w:r w:rsidRPr="00F5317D">
                              <w:t>Buzón de queja</w:t>
                            </w:r>
                            <w:r w:rsidR="002C76F8">
                              <w:t>s</w:t>
                            </w:r>
                            <w:r w:rsidRPr="00F5317D">
                              <w:t xml:space="preserve"> del SGC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35"/>
                              <w:jc w:val="both"/>
                            </w:pPr>
                            <w:r w:rsidRPr="00F5317D">
                              <w:t>Conformación del Subcomité de Ética y de Prevención de Conflictos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35"/>
                              <w:jc w:val="both"/>
                            </w:pPr>
                            <w:r w:rsidRPr="00F5317D">
                              <w:t>Conferencias de Igualdad Laboral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35"/>
                              <w:jc w:val="both"/>
                            </w:pPr>
                            <w:r w:rsidRPr="00F5317D">
                              <w:t>Conferencias de Equidad de Género e Inclusión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35"/>
                              <w:jc w:val="both"/>
                            </w:pPr>
                            <w:r w:rsidRPr="00F5317D">
                              <w:t>Pláticas de Seguridad</w:t>
                            </w:r>
                          </w:p>
                          <w:p w:rsid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35"/>
                              <w:jc w:val="both"/>
                            </w:pPr>
                            <w:r>
                              <w:t>Campañas de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.65pt;margin-top:1.15pt;width:476.1pt;height:46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" fillcolor="white [3201]" strokeweight=".5pt">
                <v:textbox>
                  <w:txbxContent>
                    <w:p w:rsidR="00C570C7" w:rsidRDefault="00C570C7" w:rsidP="003465B8">
                      <w:pPr>
                        <w:ind w:right="35"/>
                        <w:jc w:val="both"/>
                      </w:pPr>
                      <w:r>
                        <w:t>[Escriba aquí]</w:t>
                      </w:r>
                    </w:p>
                    <w:p w:rsidR="00C570C7" w:rsidRDefault="00265CA3" w:rsidP="003465B8">
                      <w:pPr>
                        <w:ind w:right="35"/>
                        <w:jc w:val="both"/>
                      </w:pPr>
                      <w:r>
                        <w:t xml:space="preserve">Estos son algunos ejemplos de medidas </w:t>
                      </w:r>
                    </w:p>
                    <w:p w:rsidR="004728CE" w:rsidRDefault="00265CA3" w:rsidP="004728CE">
                      <w:pPr>
                        <w:ind w:right="35"/>
                        <w:jc w:val="both"/>
                      </w:pPr>
                      <w:r>
                        <w:t xml:space="preserve">Para organizaciones académicas: </w:t>
                      </w:r>
                    </w:p>
                    <w:p w:rsidR="00265CA3" w:rsidRDefault="00265CA3" w:rsidP="004728C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>
                        <w:t xml:space="preserve">Incorporar los principios los principios del </w:t>
                      </w:r>
                      <w:r w:rsidR="00F5317D">
                        <w:t>P</w:t>
                      </w:r>
                      <w:r>
                        <w:t xml:space="preserve">acto </w:t>
                      </w:r>
                      <w:r w:rsidR="00F5317D">
                        <w:t>Mundial de la ONU</w:t>
                      </w:r>
                      <w:r w:rsidR="009A1250">
                        <w:t xml:space="preserve"> a las operaciones internas y comunicar el progreso conforme a las exigencias comunicación sobre el progreso</w:t>
                      </w:r>
                      <w:r w:rsidR="004728CE">
                        <w:t>.</w:t>
                      </w:r>
                    </w:p>
                    <w:p w:rsidR="009A1250" w:rsidRDefault="009A1250" w:rsidP="00346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 w:rsidRPr="009A1250">
                        <w:t>Promover el Pacto Mundial y sus principios a través de las siguientes actividades (al menos una de las siguientes opciones es obl</w:t>
                      </w:r>
                      <w:r w:rsidR="004728CE">
                        <w:t>igatoria).</w:t>
                      </w:r>
                    </w:p>
                    <w:p w:rsidR="009A1250" w:rsidRDefault="009A1250" w:rsidP="00346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 w:rsidRPr="009A1250">
                        <w:t>Ofrecer educación acerca de temas rel</w:t>
                      </w:r>
                      <w:r>
                        <w:t>acionados con el Pacto Mundial</w:t>
                      </w:r>
                      <w:r w:rsidR="004728CE">
                        <w:t>.</w:t>
                      </w:r>
                      <w:r>
                        <w:t xml:space="preserve"> </w:t>
                      </w:r>
                    </w:p>
                    <w:p w:rsidR="00F5317D" w:rsidRDefault="009A1250" w:rsidP="00346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 w:rsidRPr="009A1250">
                        <w:t xml:space="preserve">Realizar investigación aplicada y liderazgo de pensamiento en </w:t>
                      </w:r>
                      <w:r w:rsidR="00F5317D">
                        <w:t xml:space="preserve">relación con el Pacto Mundial. </w:t>
                      </w:r>
                    </w:p>
                    <w:p w:rsidR="00F5317D" w:rsidRDefault="009A1250" w:rsidP="00346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 w:rsidRPr="009A1250">
                        <w:t xml:space="preserve">Difundir los </w:t>
                      </w:r>
                      <w:r w:rsidR="00F5317D">
                        <w:t xml:space="preserve">principios del Pacto Mundial. </w:t>
                      </w:r>
                    </w:p>
                    <w:p w:rsidR="00F5317D" w:rsidRDefault="009A1250" w:rsidP="00346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 w:rsidRPr="009A1250">
                        <w:t>Brindar apoyo a las empresas participantes del Pacto Mundial de Naciones Unidas en la implementación de sostenibili</w:t>
                      </w:r>
                      <w:r w:rsidR="00F5317D">
                        <w:t>dad y esfuerzos de divulgación</w:t>
                      </w:r>
                      <w:r w:rsidR="004728CE">
                        <w:t>.</w:t>
                      </w:r>
                      <w:r w:rsidR="00F5317D">
                        <w:t xml:space="preserve"> </w:t>
                      </w:r>
                    </w:p>
                    <w:p w:rsidR="009A1250" w:rsidRDefault="009A1250" w:rsidP="00346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right="35"/>
                        <w:jc w:val="both"/>
                      </w:pPr>
                      <w:r w:rsidRPr="009A1250">
                        <w:t>Dar capacidad a las Redes Locales del Pacto Mundial y/o la Oficina del Pacto Mundial</w:t>
                      </w:r>
                      <w:r w:rsidR="004728CE">
                        <w:t>.</w:t>
                      </w:r>
                    </w:p>
                    <w:p w:rsidR="00F5317D" w:rsidRDefault="00F5317D" w:rsidP="003465B8">
                      <w:pPr>
                        <w:pStyle w:val="Prrafodelista"/>
                        <w:ind w:right="35"/>
                        <w:jc w:val="both"/>
                      </w:pPr>
                    </w:p>
                    <w:p w:rsidR="00F5317D" w:rsidRPr="004728CE" w:rsidRDefault="00F5317D" w:rsidP="004728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35"/>
                        <w:jc w:val="both"/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</w:pPr>
                      <w:r w:rsidRPr="004728CE"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  <w:t>Derechos Humanos:</w:t>
                      </w:r>
                      <w:r w:rsidR="004728CE" w:rsidRPr="004728CE"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5317D" w:rsidRPr="00F5317D" w:rsidRDefault="00F5317D" w:rsidP="004728CE">
                      <w:pPr>
                        <w:ind w:right="35"/>
                        <w:jc w:val="both"/>
                      </w:pPr>
                      <w:r w:rsidRPr="00F5317D">
                        <w:t xml:space="preserve">El </w:t>
                      </w:r>
                      <w:r w:rsidR="00F030F9" w:rsidRPr="003909C8">
                        <w:rPr>
                          <w:b/>
                        </w:rPr>
                        <w:t>nombre del Instituto Tecnológico</w:t>
                      </w:r>
                      <w:r w:rsidRPr="00F5317D">
                        <w:t xml:space="preserve"> mantiene y fomenta los derechos humanos en su lugar de trabajo y en su esfera de influencia, conformada por la</w:t>
                      </w:r>
                      <w:r>
                        <w:t xml:space="preserve"> </w:t>
                      </w:r>
                      <w:r w:rsidRPr="00F5317D">
                        <w:t>comunidad tecnológica (Directivos, personal docente, estudiantes). No se facilita ni se promueven los abusos a los derechos humanos ni se beneficia por actos</w:t>
                      </w:r>
                      <w:r>
                        <w:t xml:space="preserve"> </w:t>
                      </w:r>
                      <w:r w:rsidRPr="00F5317D">
                        <w:t>de dicha naturaleza, tampoco se guarda silencio al acto de los mismo.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ind w:right="35"/>
                        <w:jc w:val="both"/>
                      </w:pPr>
                      <w:r w:rsidRPr="00F5317D">
                        <w:t>Algunas actividades realizadas para dar cumplimiento fueron: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35"/>
                        <w:jc w:val="both"/>
                      </w:pPr>
                      <w:r w:rsidRPr="00F5317D">
                        <w:t>Buzón de queja</w:t>
                      </w:r>
                      <w:r w:rsidR="002C76F8">
                        <w:t>s</w:t>
                      </w:r>
                      <w:bookmarkStart w:id="1" w:name="_GoBack"/>
                      <w:bookmarkEnd w:id="1"/>
                      <w:r w:rsidRPr="00F5317D">
                        <w:t xml:space="preserve"> del SGC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35"/>
                        <w:jc w:val="both"/>
                      </w:pPr>
                      <w:r w:rsidRPr="00F5317D">
                        <w:t>Conformación del Subcomité de Ética y de Prevención de Conflictos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35"/>
                        <w:jc w:val="both"/>
                      </w:pPr>
                      <w:r w:rsidRPr="00F5317D">
                        <w:t>Conferencias de Igualdad Laboral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35"/>
                        <w:jc w:val="both"/>
                      </w:pPr>
                      <w:r w:rsidRPr="00F5317D">
                        <w:t>Conferencias de Equidad de Género e Inclusión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35"/>
                        <w:jc w:val="both"/>
                      </w:pPr>
                      <w:r w:rsidRPr="00F5317D">
                        <w:t>Pláticas de Seguridad</w:t>
                      </w:r>
                    </w:p>
                    <w:p w:rsidR="00F5317D" w:rsidRDefault="00F5317D" w:rsidP="003465B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35"/>
                        <w:jc w:val="both"/>
                      </w:pPr>
                      <w:r>
                        <w:t>Campañas de servicio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F5317D" w:rsidRDefault="00F5317D" w:rsidP="002707C5">
      <w:r>
        <w:br/>
      </w:r>
    </w:p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Pr="00F5317D" w:rsidRDefault="00F5317D" w:rsidP="00F5317D"/>
    <w:p w:rsidR="00F5317D" w:rsidRDefault="00F5317D" w:rsidP="00F5317D"/>
    <w:p w:rsidR="00EB6F20" w:rsidRDefault="00EB6F20" w:rsidP="00F5317D"/>
    <w:p w:rsidR="00F5317D" w:rsidRDefault="00F5317D" w:rsidP="00F5317D"/>
    <w:p w:rsidR="00F5317D" w:rsidRDefault="00F5317D" w:rsidP="00F5317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-359373</wp:posOffset>
                </wp:positionH>
                <wp:positionV relativeFrom="paragraph">
                  <wp:posOffset>-211306</wp:posOffset>
                </wp:positionV>
                <wp:extent cx="6376086" cy="6895652"/>
                <wp:effectExtent l="0" t="0" r="24765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86" cy="689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CE" w:rsidRDefault="004728CE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5317D" w:rsidRPr="004728CE" w:rsidRDefault="00F5317D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28CE"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  <w:t>Estándares Laborales:</w:t>
                            </w:r>
                          </w:p>
                          <w:p w:rsidR="00F5317D" w:rsidRPr="00F5317D" w:rsidRDefault="00F5317D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5317D">
                              <w:t xml:space="preserve">El </w:t>
                            </w:r>
                            <w:r w:rsidR="00F030F9">
                              <w:rPr>
                                <w:b/>
                              </w:rPr>
                              <w:t>nombre del Instituto Tecnológico</w:t>
                            </w:r>
                            <w:r w:rsidRPr="00F5317D">
                              <w:t xml:space="preserve"> mantiene y fomenta los estándares laborales promoviendo la igualdad de de</w:t>
                            </w:r>
                            <w:r w:rsidR="008D4CC5">
                              <w:t xml:space="preserve">rechos laborales, la equidad de </w:t>
                            </w:r>
                            <w:r w:rsidRPr="00F5317D">
                              <w:t>oportunidades, la no discriminación. Así como el respeto y la tolerancia.</w:t>
                            </w:r>
                          </w:p>
                          <w:p w:rsidR="00F5317D" w:rsidRPr="00F5317D" w:rsidRDefault="00F5317D" w:rsidP="003465B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88"/>
                              <w:jc w:val="both"/>
                            </w:pPr>
                            <w:r w:rsidRPr="00F5317D">
                              <w:t>Conformación de la Comisión Dictaminadora Docente y No Docente</w:t>
                            </w:r>
                          </w:p>
                          <w:p w:rsidR="00F5317D" w:rsidRPr="00F5317D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5317D">
                              <w:t>Difusión de los reglamentos vigentes</w:t>
                            </w:r>
                          </w:p>
                          <w:p w:rsidR="00F5317D" w:rsidRPr="00F5317D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5317D">
                              <w:t>Pláticas de inducción a trabajadores de nuevo ingreso</w:t>
                            </w:r>
                          </w:p>
                          <w:p w:rsidR="00F5317D" w:rsidRPr="00F5317D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5317D">
                              <w:t>Convocatorias de promoción</w:t>
                            </w:r>
                          </w:p>
                          <w:p w:rsidR="00F5317D" w:rsidRPr="00F5317D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5317D">
                              <w:t>Campañas del SGIG (Sistema de Gestión de Igualdad y No Discriminación)</w:t>
                            </w:r>
                          </w:p>
                          <w:p w:rsidR="00F5317D" w:rsidRPr="00F5317D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 w:rsidRPr="00F5317D">
                              <w:t>Cuenta con una delegación sindical</w:t>
                            </w:r>
                          </w:p>
                          <w:p w:rsidR="004728CE" w:rsidRDefault="004728CE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5317D" w:rsidRPr="004728CE" w:rsidRDefault="00F5317D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28CE"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  <w:t>Medio Ambiente:</w:t>
                            </w:r>
                          </w:p>
                          <w:p w:rsidR="00F5317D" w:rsidRPr="008D4CC5" w:rsidRDefault="00F5317D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 xml:space="preserve">El </w:t>
                            </w:r>
                            <w:r w:rsidR="00F030F9">
                              <w:rPr>
                                <w:b/>
                              </w:rPr>
                              <w:t>nombre del Instituto Tecnológico</w:t>
                            </w:r>
                            <w:r w:rsidR="00F030F9" w:rsidRPr="008D4CC5">
                              <w:t xml:space="preserve"> </w:t>
                            </w:r>
                            <w:r w:rsidRPr="008D4CC5">
                              <w:t>fomenta a través de su Sistema de Gestión Ambiental con acciones para orientar el proceso educativo hacia el respeto</w:t>
                            </w:r>
                            <w:r w:rsidR="008D4CC5">
                              <w:t xml:space="preserve"> </w:t>
                            </w:r>
                            <w:r w:rsidRPr="008D4CC5">
                              <w:t>del medio ambiente, dando cumplimiento a las leyes aplicables.</w:t>
                            </w:r>
                          </w:p>
                          <w:p w:rsidR="00F5317D" w:rsidRPr="008D4CC5" w:rsidRDefault="008D4CC5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 xml:space="preserve">Campañas de concientización </w:t>
                            </w:r>
                            <w:r w:rsidR="00F5317D" w:rsidRPr="008D4CC5">
                              <w:t>del SGA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Jornadas Verdes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Clasificación de Residuos Sólidos Urbanos, Residuos Peligroso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Campañas para uso eficiente del agua y energía eléctrica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Participación en redes de colaboración estatales (RIEDes)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Campañas de reforestación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Participación en Jornadas de alternativas verdes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Unidad interna de protección</w:t>
                            </w:r>
                          </w:p>
                          <w:p w:rsidR="00F5317D" w:rsidRPr="008D4CC5" w:rsidRDefault="008D4CC5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 xml:space="preserve">Comisión de Seguridad y Salud </w:t>
                            </w:r>
                            <w:r w:rsidR="00F5317D" w:rsidRPr="008D4CC5">
                              <w:t>del SGA</w:t>
                            </w:r>
                          </w:p>
                          <w:p w:rsidR="00F5317D" w:rsidRPr="008D4CC5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Simulacros</w:t>
                            </w:r>
                          </w:p>
                          <w:p w:rsidR="004728CE" w:rsidRDefault="004728CE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5317D" w:rsidRDefault="00F5317D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Narrow" w:hAnsi="ArialNarrow" w:cs="ArialNarrow"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728CE">
                              <w:rPr>
                                <w:rFonts w:ascii="ArialNarrow" w:hAnsi="ArialNarrow" w:cs="ArialNarrow"/>
                                <w:color w:val="000000" w:themeColor="text1"/>
                                <w:sz w:val="32"/>
                                <w:szCs w:val="32"/>
                              </w:rPr>
                              <w:t>Anticorrupción</w:t>
                            </w:r>
                            <w:r>
                              <w:rPr>
                                <w:rFonts w:ascii="ArialNarrow" w:hAnsi="ArialNarrow" w:cs="ArialNarrow"/>
                                <w:color w:val="1F497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5317D" w:rsidRPr="008D4CC5" w:rsidRDefault="00F5317D" w:rsidP="003909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 xml:space="preserve">El </w:t>
                            </w:r>
                            <w:r w:rsidR="00F030F9">
                              <w:rPr>
                                <w:b/>
                              </w:rPr>
                              <w:t>nombre del Instituto Tecnológico</w:t>
                            </w:r>
                            <w:r w:rsidR="00F030F9" w:rsidRPr="008D4CC5">
                              <w:t xml:space="preserve"> </w:t>
                            </w:r>
                            <w:r w:rsidRPr="008D4CC5">
                              <w:t>mantiene la campaña de cero tolerancia a la corrupción y actos delictivos.</w:t>
                            </w:r>
                          </w:p>
                          <w:p w:rsidR="005A3F26" w:rsidRDefault="005A3F26" w:rsidP="00EA30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Código de Conducta del TecNM</w:t>
                            </w:r>
                          </w:p>
                          <w:p w:rsidR="005A3F26" w:rsidRDefault="005A3F26" w:rsidP="00EA30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Código de Ética</w:t>
                            </w:r>
                          </w:p>
                          <w:p w:rsidR="00F5317D" w:rsidRPr="008D4CC5" w:rsidRDefault="00F5317D" w:rsidP="00EA30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Campañas de difusión de derechos laborales</w:t>
                            </w:r>
                          </w:p>
                          <w:p w:rsidR="00F5317D" w:rsidRDefault="00F5317D" w:rsidP="003909C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D4CC5">
                              <w:t>Difusión de reglamentación vigente para promoción e ingreso</w:t>
                            </w:r>
                          </w:p>
                          <w:p w:rsidR="004728CE" w:rsidRDefault="004728CE" w:rsidP="004728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:rsidR="004728CE" w:rsidRDefault="004728CE" w:rsidP="004728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:rsidR="004728CE" w:rsidRPr="004728CE" w:rsidRDefault="009A1717" w:rsidP="004728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A1717">
                              <w:rPr>
                                <w:b/>
                                <w:u w:val="single"/>
                              </w:rPr>
                              <w:t>*NOTA</w:t>
                            </w:r>
                            <w:r>
                              <w:rPr>
                                <w:b/>
                              </w:rPr>
                              <w:t>: L</w:t>
                            </w:r>
                            <w:r w:rsidR="004728CE">
                              <w:rPr>
                                <w:b/>
                              </w:rPr>
                              <w:t xml:space="preserve">as actividades antes mencionadas son algunos ejemplos que el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4728CE">
                              <w:rPr>
                                <w:b/>
                              </w:rPr>
                              <w:t>ecnológico</w:t>
                            </w:r>
                            <w:r>
                              <w:rPr>
                                <w:b/>
                              </w:rPr>
                              <w:t xml:space="preserve"> puede registrar en su COE, teniendo la posibilidad de insertar gráficos, fotografías, tablas así como un desglose amplio de las mismas dando evidencia del cumplimiento de cada principio.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margin-left:-28.3pt;margin-top:-16.65pt;width:502.05pt;height:5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" fillcolor="white [3201]" strokeweight=".5pt">
                <v:textbox>
                  <w:txbxContent>
                    <w:p w:rsidR="004728CE" w:rsidRDefault="004728CE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5317D" w:rsidRPr="004728CE" w:rsidRDefault="00F5317D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</w:pPr>
                      <w:r w:rsidRPr="004728CE"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  <w:t>Estándares Laborales:</w:t>
                      </w:r>
                    </w:p>
                    <w:p w:rsidR="00F5317D" w:rsidRPr="00F5317D" w:rsidRDefault="00F5317D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5317D">
                        <w:t xml:space="preserve">El </w:t>
                      </w:r>
                      <w:r w:rsidR="00F030F9">
                        <w:rPr>
                          <w:b/>
                        </w:rPr>
                        <w:t>nombre del Instituto Tecnológico</w:t>
                      </w:r>
                      <w:r w:rsidRPr="00F5317D">
                        <w:t xml:space="preserve"> mantiene y fomenta los estándares laborales promoviendo la igualdad de de</w:t>
                      </w:r>
                      <w:r w:rsidR="008D4CC5">
                        <w:t xml:space="preserve">rechos laborales, la equidad de </w:t>
                      </w:r>
                      <w:r w:rsidRPr="00F5317D">
                        <w:t>oportunidades, la no discriminación. Así como el respeto y la tolerancia.</w:t>
                      </w:r>
                    </w:p>
                    <w:p w:rsidR="00F5317D" w:rsidRPr="00F5317D" w:rsidRDefault="00F5317D" w:rsidP="003465B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788"/>
                        <w:jc w:val="both"/>
                      </w:pPr>
                      <w:r w:rsidRPr="00F5317D">
                        <w:t>Conformación de la Comisión Dictaminadora Docente y No Docente</w:t>
                      </w:r>
                    </w:p>
                    <w:p w:rsidR="00F5317D" w:rsidRPr="00F5317D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5317D">
                        <w:t>Difusión de los reglamentos vigentes</w:t>
                      </w:r>
                    </w:p>
                    <w:p w:rsidR="00F5317D" w:rsidRPr="00F5317D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5317D">
                        <w:t>Pláticas de inducción a trabajadores de nuevo ingreso</w:t>
                      </w:r>
                    </w:p>
                    <w:p w:rsidR="00F5317D" w:rsidRPr="00F5317D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5317D">
                        <w:t>Convocatorias de promoción</w:t>
                      </w:r>
                    </w:p>
                    <w:p w:rsidR="00F5317D" w:rsidRPr="00F5317D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5317D">
                        <w:t>Campañas del SGIG (Sistema de Gestión de Igualdad y No Discriminación)</w:t>
                      </w:r>
                    </w:p>
                    <w:p w:rsidR="00F5317D" w:rsidRPr="00F5317D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</w:pPr>
                      <w:r w:rsidRPr="00F5317D">
                        <w:t>Cuenta con una delegación sindical</w:t>
                      </w:r>
                    </w:p>
                    <w:p w:rsidR="004728CE" w:rsidRDefault="004728CE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5317D" w:rsidRPr="004728CE" w:rsidRDefault="00F5317D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</w:pPr>
                      <w:r w:rsidRPr="004728CE"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  <w:t>Medio Ambiente:</w:t>
                      </w:r>
                    </w:p>
                    <w:p w:rsidR="00F5317D" w:rsidRPr="008D4CC5" w:rsidRDefault="00F5317D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 xml:space="preserve">El </w:t>
                      </w:r>
                      <w:r w:rsidR="00F030F9">
                        <w:rPr>
                          <w:b/>
                        </w:rPr>
                        <w:t>nombre del Instituto Tecnológico</w:t>
                      </w:r>
                      <w:r w:rsidR="00F030F9" w:rsidRPr="008D4CC5">
                        <w:t xml:space="preserve"> </w:t>
                      </w:r>
                      <w:r w:rsidRPr="008D4CC5">
                        <w:t>fomenta a través de su Sistema de Gestión Ambiental con acciones para orientar el proceso educativo hacia el respeto</w:t>
                      </w:r>
                      <w:r w:rsidR="008D4CC5">
                        <w:t xml:space="preserve"> </w:t>
                      </w:r>
                      <w:r w:rsidRPr="008D4CC5">
                        <w:t>del medio ambiente, dando cumplimiento a las leyes aplicables.</w:t>
                      </w:r>
                    </w:p>
                    <w:p w:rsidR="00F5317D" w:rsidRPr="008D4CC5" w:rsidRDefault="008D4CC5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 xml:space="preserve">Campañas de concientización </w:t>
                      </w:r>
                      <w:r w:rsidR="00F5317D" w:rsidRPr="008D4CC5">
                        <w:t>del SGA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Jornadas Verdes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Clasificación de Residuos Sólidos Urbanos, Residuos Peligroso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Campañas para uso eficiente del agua y energía eléctrica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Participación en redes de colaboración estatales (RIEDes)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Campañas de reforestación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Participación en Jornadas de alternativas verdes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Unidad interna de protección</w:t>
                      </w:r>
                    </w:p>
                    <w:p w:rsidR="00F5317D" w:rsidRPr="008D4CC5" w:rsidRDefault="008D4CC5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 xml:space="preserve">Comisión de Seguridad y Salud </w:t>
                      </w:r>
                      <w:r w:rsidR="00F5317D" w:rsidRPr="008D4CC5">
                        <w:t>del SGA</w:t>
                      </w:r>
                    </w:p>
                    <w:p w:rsidR="00F5317D" w:rsidRPr="008D4CC5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Simulacros</w:t>
                      </w:r>
                    </w:p>
                    <w:p w:rsidR="004728CE" w:rsidRDefault="004728CE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5317D" w:rsidRDefault="00F5317D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Narrow" w:hAnsi="ArialNarrow" w:cs="ArialNarrow"/>
                          <w:color w:val="1F497D"/>
                          <w:sz w:val="32"/>
                          <w:szCs w:val="32"/>
                        </w:rPr>
                      </w:pPr>
                      <w:r w:rsidRPr="004728CE">
                        <w:rPr>
                          <w:rFonts w:ascii="ArialNarrow" w:hAnsi="ArialNarrow" w:cs="ArialNarrow"/>
                          <w:color w:val="000000" w:themeColor="text1"/>
                          <w:sz w:val="32"/>
                          <w:szCs w:val="32"/>
                        </w:rPr>
                        <w:t>Anticorrupción</w:t>
                      </w:r>
                      <w:r>
                        <w:rPr>
                          <w:rFonts w:ascii="ArialNarrow" w:hAnsi="ArialNarrow" w:cs="ArialNarrow"/>
                          <w:color w:val="1F497D"/>
                          <w:sz w:val="32"/>
                          <w:szCs w:val="32"/>
                        </w:rPr>
                        <w:t>:</w:t>
                      </w:r>
                    </w:p>
                    <w:p w:rsidR="00F5317D" w:rsidRPr="008D4CC5" w:rsidRDefault="00F5317D" w:rsidP="003909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 xml:space="preserve">El </w:t>
                      </w:r>
                      <w:r w:rsidR="00F030F9">
                        <w:rPr>
                          <w:b/>
                        </w:rPr>
                        <w:t>nombre del Instituto Tecnológico</w:t>
                      </w:r>
                      <w:r w:rsidR="00F030F9" w:rsidRPr="008D4CC5">
                        <w:t xml:space="preserve"> </w:t>
                      </w:r>
                      <w:r w:rsidRPr="008D4CC5">
                        <w:t>mantiene la campaña de cero tolerancia a la corrupción y actos delictivos.</w:t>
                      </w:r>
                    </w:p>
                    <w:p w:rsidR="005A3F26" w:rsidRDefault="005A3F26" w:rsidP="00EA30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Código de Conducta del TecNM</w:t>
                      </w:r>
                    </w:p>
                    <w:p w:rsidR="005A3F26" w:rsidRDefault="005A3F26" w:rsidP="00EA30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Código de Ética</w:t>
                      </w:r>
                    </w:p>
                    <w:p w:rsidR="00F5317D" w:rsidRPr="008D4CC5" w:rsidRDefault="00F5317D" w:rsidP="00EA30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Campañas de difusión de derechos laborales</w:t>
                      </w:r>
                    </w:p>
                    <w:p w:rsidR="00F5317D" w:rsidRDefault="00F5317D" w:rsidP="003909C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D4CC5">
                        <w:t>Difusión de reglamentación vigente para promoción e ingreso</w:t>
                      </w:r>
                    </w:p>
                    <w:p w:rsidR="004728CE" w:rsidRDefault="004728CE" w:rsidP="004728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:rsidR="004728CE" w:rsidRDefault="004728CE" w:rsidP="004728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:rsidR="004728CE" w:rsidRPr="004728CE" w:rsidRDefault="009A1717" w:rsidP="004728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A1717">
                        <w:rPr>
                          <w:b/>
                          <w:u w:val="single"/>
                        </w:rPr>
                        <w:t>*NOTA</w:t>
                      </w:r>
                      <w:r>
                        <w:rPr>
                          <w:b/>
                        </w:rPr>
                        <w:t>: L</w:t>
                      </w:r>
                      <w:r w:rsidR="004728CE">
                        <w:rPr>
                          <w:b/>
                        </w:rPr>
                        <w:t xml:space="preserve">as actividades antes mencionadas son algunos ejemplos que el </w:t>
                      </w:r>
                      <w:r>
                        <w:rPr>
                          <w:b/>
                        </w:rPr>
                        <w:t>T</w:t>
                      </w:r>
                      <w:r w:rsidR="004728CE">
                        <w:rPr>
                          <w:b/>
                        </w:rPr>
                        <w:t>ecnológico</w:t>
                      </w:r>
                      <w:r>
                        <w:rPr>
                          <w:b/>
                        </w:rPr>
                        <w:t xml:space="preserve"> puede registrar en su COE, teniendo la posibilidad de insertar gráficos, fotografías, tablas así como un desglose amplio de las mismas dando evidencia del cumplimiento de cada principio. </w:t>
                      </w:r>
                    </w:p>
                  </w:txbxContent>
                </v:textbox>
              </v:shape>
            </w:pict>
          </mc:Fallback>
        </mc:AlternateContent>
      </w:r>
    </w:p>
    <w:p w:rsidR="00512A96" w:rsidRDefault="00512A96" w:rsidP="00F5317D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512A96" w:rsidRPr="00512A96" w:rsidRDefault="00512A96" w:rsidP="00512A96"/>
    <w:p w:rsidR="008F41E9" w:rsidRDefault="008F41E9" w:rsidP="00512A9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p w:rsidR="008F41E9" w:rsidRDefault="008F41E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12A96" w:rsidRDefault="00512A96" w:rsidP="003909C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Parte III. Medición de resultados </w:t>
      </w:r>
    </w:p>
    <w:p w:rsidR="00F5317D" w:rsidRPr="003909C8" w:rsidRDefault="009A1717" w:rsidP="003909C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3B0FC" wp14:editId="6CD97E9F">
                <wp:simplePos x="0" y="0"/>
                <wp:positionH relativeFrom="column">
                  <wp:posOffset>-219523</wp:posOffset>
                </wp:positionH>
                <wp:positionV relativeFrom="paragraph">
                  <wp:posOffset>610833</wp:posOffset>
                </wp:positionV>
                <wp:extent cx="6174740" cy="6260950"/>
                <wp:effectExtent l="0" t="0" r="16510" b="260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626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5FF" w:rsidRDefault="00EF75FF" w:rsidP="00EF7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A1717">
                              <w:t xml:space="preserve">[Escribir aquí] </w:t>
                            </w:r>
                          </w:p>
                          <w:p w:rsidR="00EF75FF" w:rsidRDefault="00EF75FF" w:rsidP="00EF7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:rsidR="00EF75FF" w:rsidRPr="009A1717" w:rsidRDefault="00EF75FF" w:rsidP="00EF7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  <w:p w:rsidR="00EF75FF" w:rsidRDefault="00EF75FF" w:rsidP="00EF7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171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Estos son algunos ejemplos de medición de resultados: </w:t>
                            </w:r>
                          </w:p>
                          <w:p w:rsidR="00EF75FF" w:rsidRPr="009A1717" w:rsidRDefault="00EF75FF" w:rsidP="00EF7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75FF" w:rsidRPr="009631E5" w:rsidRDefault="00EF75FF" w:rsidP="00EF75F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631E5">
                              <w:t>Colaboración integral para lograr los objetivos mundiales de la ONU</w:t>
                            </w:r>
                          </w:p>
                          <w:p w:rsidR="00EF75FF" w:rsidRPr="009631E5" w:rsidRDefault="00EF75FF" w:rsidP="009D632B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631E5">
                              <w:t>Tener acceso a la información sobre buenas prácticas y experiencias en todo el mundo y participación en redes internacionales de conocimiento, así</w:t>
                            </w:r>
                            <w:r w:rsidR="009D632B">
                              <w:t xml:space="preserve"> </w:t>
                            </w:r>
                            <w:r w:rsidRPr="009631E5">
                              <w:t>como a un conocimiento más profundo de la misión de la ONU en temas de desarrollo y su alcance práctico en todo el mundo.</w:t>
                            </w:r>
                          </w:p>
                          <w:p w:rsidR="00EF75FF" w:rsidRPr="009631E5" w:rsidRDefault="00EF75FF" w:rsidP="00EF75F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631E5">
                              <w:t>Fomentar una mayor identificación y pertenencia de la comunidad tecnológica.</w:t>
                            </w:r>
                          </w:p>
                          <w:p w:rsidR="00EF75FF" w:rsidRPr="009631E5" w:rsidRDefault="00EF75FF" w:rsidP="00EF75F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631E5">
                              <w:t>Gestionar estratégicamente para cumplir con las expectativas de la sociedad.</w:t>
                            </w:r>
                          </w:p>
                          <w:p w:rsidR="00EF75FF" w:rsidRPr="009631E5" w:rsidRDefault="00EF75FF" w:rsidP="00EF75F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631E5">
                              <w:t>Fortalecer la confianza de la sociedad hacia la Institución</w:t>
                            </w:r>
                          </w:p>
                          <w:p w:rsidR="00EF75FF" w:rsidRDefault="00EF75FF" w:rsidP="00716D9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631E5">
                              <w:t>Reconocimiento de la implementación de actividades que conlleven a buenas prácticas a través del Pacto Mundial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B0F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left:0;text-align:left;margin-left:-17.3pt;margin-top:48.1pt;width:486.2pt;height:4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" fillcolor="white [3201]" strokeweight=".5pt">
                <v:textbox>
                  <w:txbxContent>
                    <w:p w:rsidR="00EF75FF" w:rsidRDefault="00EF75FF" w:rsidP="00EF7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A1717">
                        <w:t xml:space="preserve">[Escribir aquí] </w:t>
                      </w:r>
                    </w:p>
                    <w:p w:rsidR="00EF75FF" w:rsidRDefault="00EF75FF" w:rsidP="00EF7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:rsidR="00EF75FF" w:rsidRPr="009A1717" w:rsidRDefault="00EF75FF" w:rsidP="00EF7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  <w:p w:rsidR="00EF75FF" w:rsidRDefault="00EF75FF" w:rsidP="00EF7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A171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Estos son algunos ejemplos de medición de resultados: </w:t>
                      </w:r>
                    </w:p>
                    <w:p w:rsidR="00EF75FF" w:rsidRPr="009A1717" w:rsidRDefault="00EF75FF" w:rsidP="00EF7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75FF" w:rsidRPr="009631E5" w:rsidRDefault="00EF75FF" w:rsidP="00EF75F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631E5">
                        <w:t>Colaboración integral para lograr los objetivos mundiales de la ONU</w:t>
                      </w:r>
                    </w:p>
                    <w:p w:rsidR="00EF75FF" w:rsidRPr="009631E5" w:rsidRDefault="00EF75FF" w:rsidP="009D632B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631E5">
                        <w:t>Tener acceso a la información sobre buenas prácticas y experiencias en todo el mundo y participación en redes internacionales de conocimiento, así</w:t>
                      </w:r>
                      <w:r w:rsidR="009D632B">
                        <w:t xml:space="preserve"> </w:t>
                      </w:r>
                      <w:r w:rsidRPr="009631E5">
                        <w:t>como a un conocimiento más profundo de la misión de la ONU en temas de desarrollo y su alcance práctico en todo el mundo.</w:t>
                      </w:r>
                    </w:p>
                    <w:p w:rsidR="00EF75FF" w:rsidRPr="009631E5" w:rsidRDefault="00EF75FF" w:rsidP="00EF75F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631E5">
                        <w:t>Fomentar una mayor identificación y pertenencia de la comunidad tecnológica.</w:t>
                      </w:r>
                    </w:p>
                    <w:p w:rsidR="00EF75FF" w:rsidRPr="009631E5" w:rsidRDefault="00EF75FF" w:rsidP="00EF75F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631E5">
                        <w:t>Gestionar estratégicamente para cumplir con las expectativas de la sociedad.</w:t>
                      </w:r>
                    </w:p>
                    <w:p w:rsidR="00EF75FF" w:rsidRPr="009631E5" w:rsidRDefault="00EF75FF" w:rsidP="00EF75F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631E5">
                        <w:t>Fortalecer la confianza de la sociedad hacia la Institución</w:t>
                      </w:r>
                    </w:p>
                    <w:p w:rsidR="00EF75FF" w:rsidRDefault="00EF75FF" w:rsidP="00716D9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631E5">
                        <w:t xml:space="preserve">Reconocimiento de la implementación de actividades que conlleven a buenas prácticas a través </w:t>
                      </w:r>
                      <w:bookmarkStart w:id="1" w:name="_GoBack"/>
                      <w:bookmarkEnd w:id="1"/>
                      <w:r w:rsidRPr="009631E5">
                        <w:t>del Pacto Mundial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2A96" w:rsidRPr="003909C8">
        <w:t>Utilice el recuadro que aparece a continuación para incluir los indicadores cualitativos o cuantitativos más relevantes para medir los resultados de las actividades descritas anteriormente en la Parte II.</w:t>
      </w:r>
    </w:p>
    <w:sectPr w:rsidR="00F5317D" w:rsidRPr="00390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92" w:rsidRDefault="00551F92" w:rsidP="00512A96">
      <w:pPr>
        <w:spacing w:after="0" w:line="240" w:lineRule="auto"/>
      </w:pPr>
      <w:r>
        <w:separator/>
      </w:r>
    </w:p>
  </w:endnote>
  <w:endnote w:type="continuationSeparator" w:id="0">
    <w:p w:rsidR="00551F92" w:rsidRDefault="00551F92" w:rsidP="005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92" w:rsidRDefault="00551F92" w:rsidP="00512A96">
      <w:pPr>
        <w:spacing w:after="0" w:line="240" w:lineRule="auto"/>
      </w:pPr>
      <w:r>
        <w:separator/>
      </w:r>
    </w:p>
  </w:footnote>
  <w:footnote w:type="continuationSeparator" w:id="0">
    <w:p w:rsidR="00551F92" w:rsidRDefault="00551F92" w:rsidP="0051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CEC"/>
    <w:multiLevelType w:val="hybridMultilevel"/>
    <w:tmpl w:val="4D46D2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79E"/>
    <w:multiLevelType w:val="hybridMultilevel"/>
    <w:tmpl w:val="F1E0A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A15"/>
    <w:multiLevelType w:val="hybridMultilevel"/>
    <w:tmpl w:val="F5DEEE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707"/>
    <w:multiLevelType w:val="hybridMultilevel"/>
    <w:tmpl w:val="1F44EA7C"/>
    <w:lvl w:ilvl="0" w:tplc="0A90A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83C"/>
    <w:multiLevelType w:val="hybridMultilevel"/>
    <w:tmpl w:val="35B6E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8B2"/>
    <w:multiLevelType w:val="hybridMultilevel"/>
    <w:tmpl w:val="81CCE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FE3"/>
    <w:multiLevelType w:val="hybridMultilevel"/>
    <w:tmpl w:val="ED100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6B56"/>
    <w:multiLevelType w:val="hybridMultilevel"/>
    <w:tmpl w:val="29C6F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0D1B"/>
    <w:multiLevelType w:val="hybridMultilevel"/>
    <w:tmpl w:val="0B646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1852"/>
    <w:multiLevelType w:val="hybridMultilevel"/>
    <w:tmpl w:val="44609C7A"/>
    <w:lvl w:ilvl="0" w:tplc="F3744CE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93150"/>
    <w:multiLevelType w:val="hybridMultilevel"/>
    <w:tmpl w:val="F4E82176"/>
    <w:lvl w:ilvl="0" w:tplc="0A90A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1"/>
    <w:rsid w:val="00265CA3"/>
    <w:rsid w:val="002707C5"/>
    <w:rsid w:val="002C76F8"/>
    <w:rsid w:val="003465B8"/>
    <w:rsid w:val="003909C8"/>
    <w:rsid w:val="004728CE"/>
    <w:rsid w:val="004E5A2E"/>
    <w:rsid w:val="00512A96"/>
    <w:rsid w:val="00551F92"/>
    <w:rsid w:val="005A3F26"/>
    <w:rsid w:val="008D4CC5"/>
    <w:rsid w:val="008F41E9"/>
    <w:rsid w:val="009631E5"/>
    <w:rsid w:val="009A1250"/>
    <w:rsid w:val="009A1717"/>
    <w:rsid w:val="009D632B"/>
    <w:rsid w:val="00B773B1"/>
    <w:rsid w:val="00C570C7"/>
    <w:rsid w:val="00E76676"/>
    <w:rsid w:val="00EA56F6"/>
    <w:rsid w:val="00EB6F20"/>
    <w:rsid w:val="00EF75FF"/>
    <w:rsid w:val="00F030F9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19AF"/>
  <w15:chartTrackingRefBased/>
  <w15:docId w15:val="{F50AF568-FCC4-4805-A406-C0F8D47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C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96"/>
  </w:style>
  <w:style w:type="paragraph" w:styleId="Piedepgina">
    <w:name w:val="footer"/>
    <w:basedOn w:val="Normal"/>
    <w:link w:val="PiedepginaCar"/>
    <w:uiPriority w:val="99"/>
    <w:unhideWhenUsed/>
    <w:rsid w:val="0051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96"/>
  </w:style>
  <w:style w:type="paragraph" w:customStyle="1" w:styleId="Default">
    <w:name w:val="Default"/>
    <w:rsid w:val="00512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KARINA ELINEY ORTEGA SANCHEZ</cp:lastModifiedBy>
  <cp:revision>7</cp:revision>
  <dcterms:created xsi:type="dcterms:W3CDTF">2018-02-26T18:21:00Z</dcterms:created>
  <dcterms:modified xsi:type="dcterms:W3CDTF">2019-09-11T17:39:00Z</dcterms:modified>
</cp:coreProperties>
</file>